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w:t>
            </w:r>
            <w:r w:rsidRPr="00F97ACD">
              <w:rPr>
                <w:rFonts w:ascii="ＭＳ Ｐゴシック" w:eastAsia="ＭＳ Ｐゴシック" w:hAnsi="ＭＳ Ｐゴシック" w:cs="ＭＳ Ｐゴシック" w:hint="eastAsia"/>
                <w:kern w:val="0"/>
                <w:sz w:val="20"/>
                <w:szCs w:val="20"/>
              </w:rPr>
              <w:lastRenderedPageBreak/>
              <w:t>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lastRenderedPageBreak/>
              <w:t>重度化した場合や終末期のあり方について、早い段階から本人・家族等と話し合い</w:t>
            </w:r>
            <w:r w:rsidRPr="00F97ACD">
              <w:rPr>
                <w:rFonts w:ascii="ＭＳ Ｐゴシック" w:eastAsia="ＭＳ Ｐゴシック" w:hAnsi="ＭＳ Ｐゴシック" w:cs="ＭＳ Ｐゴシック" w:hint="eastAsia"/>
                <w:kern w:val="0"/>
                <w:sz w:val="19"/>
                <w:szCs w:val="19"/>
              </w:rPr>
              <w:lastRenderedPageBreak/>
              <w:t>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D460A0" w:rsidRPr="00D460A0">
          <w:rPr>
            <w:noProof/>
            <w:lang w:val="ja-JP"/>
          </w:rPr>
          <w:t>-</w:t>
        </w:r>
        <w:r w:rsidR="00D460A0">
          <w:rPr>
            <w:noProof/>
          </w:rPr>
          <w:t xml:space="preserve"> 2 -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D460A0" w:rsidRPr="00D460A0">
          <w:rPr>
            <w:noProof/>
            <w:lang w:val="ja-JP"/>
          </w:rPr>
          <w:t>-</w:t>
        </w:r>
        <w:r w:rsidR="00D460A0">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1"/>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0A0"/>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4476E-72D3-49DC-845B-99DD3107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1120</Words>
  <Characters>6388</Characters>
  <Application>Microsoft Office Word</Application>
  <DocSecurity>4</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坂下　昌彦</dc:creator>
  <cp:lastModifiedBy>Administrator</cp:lastModifiedBy>
  <cp:revision>2</cp:revision>
  <cp:lastPrinted>2017-03-29T04:40:00Z</cp:lastPrinted>
  <dcterms:created xsi:type="dcterms:W3CDTF">2021-03-23T10:13:00Z</dcterms:created>
  <dcterms:modified xsi:type="dcterms:W3CDTF">2021-03-23T10:13:00Z</dcterms:modified>
</cp:coreProperties>
</file>